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85365" w14:textId="77777777" w:rsidR="00D32343" w:rsidRPr="00CD754B" w:rsidRDefault="00D32343" w:rsidP="00F81309">
      <w:pPr>
        <w:pStyle w:val="Titlu2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5433EF"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2</w:t>
      </w:r>
      <w:r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CD754B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14:paraId="6C5433A3" w14:textId="77777777" w:rsidR="00D32343" w:rsidRPr="00CD754B" w:rsidRDefault="00D32343" w:rsidP="00F81309">
      <w:pPr>
        <w:pStyle w:val="Titlu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CD754B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CD754B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  <w:r w:rsidRPr="00CD754B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3191"/>
        <w:gridCol w:w="4059"/>
        <w:gridCol w:w="6076"/>
      </w:tblGrid>
      <w:tr w:rsidR="00CD754B" w:rsidRPr="00CD754B" w14:paraId="6C7F53C6" w14:textId="77777777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754DEE6C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49C088F7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14:paraId="7A533C93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cãtre</w:t>
            </w:r>
            <w:proofErr w:type="spellEnd"/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14:paraId="6647D33A" w14:textId="77777777" w:rsidR="00D32343" w:rsidRPr="00CD754B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CD754B" w:rsidRPr="00CD754B" w14:paraId="787B46C6" w14:textId="77777777" w:rsidTr="009155BF">
        <w:tc>
          <w:tcPr>
            <w:tcW w:w="223" w:type="pct"/>
            <w:vAlign w:val="center"/>
          </w:tcPr>
          <w:p w14:paraId="6BBDCEDC" w14:textId="77777777" w:rsidR="00E96F95" w:rsidRPr="00CD754B" w:rsidRDefault="00E96F95" w:rsidP="00E96F9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6BB5B88B" w14:textId="77777777" w:rsidR="00E96F95" w:rsidRPr="00CD754B" w:rsidRDefault="00E96F95" w:rsidP="00E96F95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3575989E" w14:textId="77777777" w:rsidR="00E96F95" w:rsidRPr="00CD754B" w:rsidRDefault="00E96F95" w:rsidP="00E96F9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55" w:type="pct"/>
            <w:vAlign w:val="center"/>
          </w:tcPr>
          <w:p w14:paraId="4DC63DEA" w14:textId="77777777" w:rsidR="00E96F95" w:rsidRPr="00CD754B" w:rsidRDefault="00E96F95" w:rsidP="00E96F9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14:paraId="494220F6" w14:textId="77777777" w:rsidR="00E96F95" w:rsidRPr="00CD754B" w:rsidRDefault="00E96F95" w:rsidP="00E96F9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Totodată, se verifică existenta acordului de parteneriat, în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situaia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care proiectul se implementează în parteneriat, care trebuie să respecte, respectă formatul indicat prin Ghidul Solicitantului -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Condiii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asumat de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catre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reprezentantii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legali sau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imputernicitii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partenerilor.</w:t>
            </w:r>
          </w:p>
          <w:p w14:paraId="16925198" w14:textId="77777777" w:rsidR="00E96F95" w:rsidRPr="00CD754B" w:rsidRDefault="00E96F95" w:rsidP="00E96F95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178" w:type="pct"/>
          </w:tcPr>
          <w:p w14:paraId="1166BA1F" w14:textId="77777777" w:rsidR="00E96F95" w:rsidRPr="00CD754B" w:rsidRDefault="00E96F95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încarcate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 de solicitant și parteneri (după caz) în sistemul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mySMIS</w:t>
            </w:r>
            <w:proofErr w:type="spellEnd"/>
          </w:p>
          <w:p w14:paraId="2CFEFA53" w14:textId="687CF781" w:rsidR="00E96F95" w:rsidRPr="00CD754B" w:rsidRDefault="00E96F95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1. Acordul de parteneriat (daca este cazul), semnat de solicitant și parteneri. Se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verificã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existența acordului de parteneriat, în situația în care proiectul se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implementeazã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parteneriat, care trebuie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sã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respecte formatul indicat prin </w:t>
            </w:r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anexa la documentul </w:t>
            </w:r>
            <w:proofErr w:type="spellStart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finantarilor</w:t>
            </w:r>
            <w:proofErr w:type="spellEnd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cadrul </w:t>
            </w:r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Programului Operațional Capital Uman 2014-2020</w:t>
            </w:r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, cu </w:t>
            </w:r>
            <w:proofErr w:type="spellStart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="0050050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și trebuie sa fie asumat de reprezentanții legali ai partenerilor.</w:t>
            </w:r>
          </w:p>
          <w:p w14:paraId="4A816D87" w14:textId="4D322FFE" w:rsidR="00E96F95" w:rsidRPr="00CD754B" w:rsidRDefault="000A7904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2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. Declarație de angajament, semnată de solicitant și parteneri (dacă este cazul) (anexa nr.3 la Ordinul ministrului fondurilor europene 2467/2016, de aprobare a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corrigendum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-ului nr 2/29.11.2016)</w:t>
            </w:r>
          </w:p>
          <w:p w14:paraId="6253A377" w14:textId="1F816A24" w:rsidR="00E96F95" w:rsidRPr="00CD754B" w:rsidRDefault="000A7904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3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. Declarație de eligibilitate, semnată de solicitant și parteneri (dacă este cazul) (anexa nr.3 la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</w:t>
            </w:r>
            <w:r w:rsidRPr="00CD754B">
              <w:rPr>
                <w:color w:val="1F497D" w:themeColor="text2"/>
              </w:rPr>
              <w:t xml:space="preserve"> 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cu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14:paraId="3DB2FAC0" w14:textId="3A293467" w:rsidR="00E96F95" w:rsidRPr="00CD754B" w:rsidRDefault="000A7904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4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. Declarație cu privire la evitarea dublei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finanţări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, semnată de solicitant și 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dacă este cazul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de parteneri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(anexa nr.4 la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</w:t>
            </w:r>
            <w:r w:rsidRPr="00CD754B">
              <w:rPr>
                <w:color w:val="1F497D" w:themeColor="text2"/>
              </w:rPr>
              <w:t xml:space="preserve"> 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cu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14:paraId="164A6E85" w14:textId="23D0F4C1" w:rsidR="00E96F95" w:rsidRPr="00CD754B" w:rsidRDefault="000A7904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5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.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Declaraţie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eligibilitatea TVA aferentă cheltuielilor ce vor fi efectuate în cadrul operațiunii propuse spre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finanţare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din FESI 2014-2020, semnată de 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solicitant și 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dacă este cazul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de parteneri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(anexa nr.5 la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</w:t>
            </w:r>
            <w:r w:rsidRPr="00CD754B">
              <w:rPr>
                <w:color w:val="1F497D" w:themeColor="text2"/>
              </w:rPr>
              <w:t xml:space="preserve"> </w:t>
            </w: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cu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14:paraId="407EA4D4" w14:textId="41698116" w:rsidR="00E96F95" w:rsidRPr="00CD754B" w:rsidRDefault="000A7904" w:rsidP="00E96F95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6</w:t>
            </w:r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. Nota justificativă privind valoarea adăugată a parteneriatului (dacă este cazul), întocmită de solicitant cu respectarea prevederilor din </w:t>
            </w:r>
            <w:proofErr w:type="spellStart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="00E96F95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</w:t>
            </w:r>
            <w:r w:rsidR="00BF7161" w:rsidRPr="00CD754B">
              <w:rPr>
                <w:color w:val="1F497D" w:themeColor="text2"/>
              </w:rPr>
              <w:t xml:space="preserve"> </w:t>
            </w:r>
            <w:r w:rsidR="00BF7161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cu </w:t>
            </w:r>
            <w:proofErr w:type="spellStart"/>
            <w:r w:rsidR="00BF7161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="00BF7161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="00BF7161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="00BF7161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  <w:p w14:paraId="689A09EA" w14:textId="3E154D50" w:rsidR="00E96F95" w:rsidRPr="00CD754B" w:rsidRDefault="00E96F95" w:rsidP="00BD1B82">
            <w:pPr>
              <w:pStyle w:val="Listparagraf"/>
              <w:spacing w:before="120" w:line="240" w:lineRule="auto"/>
              <w:ind w:left="0"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Se verifica daca aceste anexe exista si daca respecta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conditiile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de forma si fond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prevazute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finanțãrilor</w:t>
            </w:r>
            <w:proofErr w:type="spellEnd"/>
            <w:r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cadrul POCU 2014-2020 </w:t>
            </w:r>
            <w:r w:rsidR="00BD1B82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cu </w:t>
            </w:r>
            <w:proofErr w:type="spellStart"/>
            <w:r w:rsidR="00BD1B82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="00BD1B82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="00BD1B82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="00BD1B82" w:rsidRPr="00CD754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 </w:t>
            </w:r>
          </w:p>
        </w:tc>
      </w:tr>
      <w:tr w:rsidR="00CD754B" w:rsidRPr="00CD754B" w14:paraId="07449659" w14:textId="77777777" w:rsidTr="009155BF">
        <w:tc>
          <w:tcPr>
            <w:tcW w:w="223" w:type="pct"/>
            <w:vAlign w:val="center"/>
          </w:tcPr>
          <w:p w14:paraId="2C5701EF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14:paraId="20F1E5CC" w14:textId="77777777" w:rsidR="00D32343" w:rsidRPr="00CD754B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455" w:type="pct"/>
            <w:vAlign w:val="center"/>
          </w:tcPr>
          <w:p w14:paraId="7B0990E2" w14:textId="77777777" w:rsidR="00D32343" w:rsidRPr="00CD754B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78" w:type="pct"/>
          </w:tcPr>
          <w:p w14:paraId="39081CC5" w14:textId="77777777" w:rsidR="00D32343" w:rsidRPr="00CD754B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14:paraId="6D489392" w14:textId="77777777" w:rsidR="00D32343" w:rsidRPr="00CD754B" w:rsidRDefault="00D32343" w:rsidP="00F81309">
      <w:pPr>
        <w:pStyle w:val="Titlu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2" w:name="_Toc435686844"/>
      <w:r w:rsidRPr="00CD754B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4125"/>
        <w:gridCol w:w="4722"/>
        <w:gridCol w:w="4528"/>
      </w:tblGrid>
      <w:tr w:rsidR="00CD754B" w:rsidRPr="00CD754B" w14:paraId="14F30C29" w14:textId="77777777" w:rsidTr="00172B35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4522D92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FAAF250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676" w:type="pct"/>
            <w:shd w:val="clear" w:color="auto" w:fill="BFBFBF"/>
            <w:vAlign w:val="center"/>
          </w:tcPr>
          <w:p w14:paraId="4C1EAA59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1607" w:type="pct"/>
            <w:shd w:val="clear" w:color="auto" w:fill="BFBFBF"/>
            <w:vAlign w:val="center"/>
          </w:tcPr>
          <w:p w14:paraId="4F79F684" w14:textId="77777777" w:rsidR="00D32343" w:rsidRPr="00CD754B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CD754B" w:rsidRPr="00CD754B" w14:paraId="0F438406" w14:textId="77777777" w:rsidTr="00172B35">
        <w:trPr>
          <w:trHeight w:val="375"/>
        </w:trPr>
        <w:tc>
          <w:tcPr>
            <w:tcW w:w="3393" w:type="pct"/>
            <w:gridSpan w:val="3"/>
            <w:vAlign w:val="center"/>
          </w:tcPr>
          <w:p w14:paraId="4B262B14" w14:textId="77777777" w:rsidR="00D32343" w:rsidRPr="00CD754B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1607" w:type="pct"/>
          </w:tcPr>
          <w:p w14:paraId="124F8239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CD754B" w:rsidRPr="00CD754B" w14:paraId="592407BC" w14:textId="77777777" w:rsidTr="00172B35">
        <w:tc>
          <w:tcPr>
            <w:tcW w:w="253" w:type="pct"/>
            <w:vAlign w:val="center"/>
          </w:tcPr>
          <w:p w14:paraId="2C2CA050" w14:textId="77777777" w:rsidR="00E96F95" w:rsidRPr="00CD754B" w:rsidRDefault="00E96F95" w:rsidP="00E96F9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14:paraId="470EF780" w14:textId="12EBF853" w:rsidR="00E96F95" w:rsidRPr="00CD754B" w:rsidRDefault="00E96F95" w:rsidP="00E96F9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 si partenerii, daca este cazul, fac parte din categoria de beneficiari eligibili și îndeplinesc condițiile stabilite în Ghidul Solicitantului?</w:t>
            </w:r>
          </w:p>
        </w:tc>
        <w:tc>
          <w:tcPr>
            <w:tcW w:w="1676" w:type="pct"/>
            <w:vAlign w:val="center"/>
          </w:tcPr>
          <w:p w14:paraId="2439CC8F" w14:textId="46466772" w:rsidR="00E96F95" w:rsidRPr="00CD754B" w:rsidRDefault="00012F6A" w:rsidP="00012F6A">
            <w:pPr>
              <w:spacing w:after="120"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Solicitantul și partenerii fac parte din categoriile de beneficiari eligibili </w:t>
            </w:r>
            <w:proofErr w:type="spellStart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menţionate</w:t>
            </w:r>
            <w:proofErr w:type="spellEnd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</w:tc>
        <w:tc>
          <w:tcPr>
            <w:tcW w:w="1607" w:type="pct"/>
          </w:tcPr>
          <w:p w14:paraId="47944422" w14:textId="2F8D48F7" w:rsidR="00E96F95" w:rsidRPr="00CD754B" w:rsidRDefault="00E96F95" w:rsidP="00E96F95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-  Solicitantul si fiecare partener</w:t>
            </w:r>
            <w:r w:rsidR="00196C68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(daca este cazul)</w:t>
            </w:r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este</w:t>
            </w:r>
            <w:proofErr w:type="spellEnd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legal constituit si are domeniul/domeniile de activitate </w:t>
            </w:r>
            <w:proofErr w:type="spellStart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corespunzator</w:t>
            </w:r>
            <w:proofErr w:type="spellEnd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activitatilor</w:t>
            </w:r>
            <w:proofErr w:type="spellEnd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pe care le va </w:t>
            </w:r>
            <w:proofErr w:type="spellStart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desfasura</w:t>
            </w:r>
            <w:proofErr w:type="spellEnd"/>
            <w:r w:rsidRPr="00CD754B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in proiect</w:t>
            </w:r>
          </w:p>
          <w:p w14:paraId="1E06B7CD" w14:textId="77777777" w:rsidR="00E96F95" w:rsidRPr="00CD754B" w:rsidRDefault="00E96F95" w:rsidP="00E96F95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- Este prezentată motivarea selectării și</w:t>
            </w:r>
          </w:p>
          <w:p w14:paraId="02C6048D" w14:textId="77777777" w:rsidR="00E96F95" w:rsidRPr="00CD754B" w:rsidRDefault="00E96F95" w:rsidP="00E96F95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rolul concret al fiecărui partener / fiecărui</w:t>
            </w:r>
          </w:p>
          <w:p w14:paraId="01A936DF" w14:textId="77777777" w:rsidR="00E96F95" w:rsidRPr="00CD754B" w:rsidRDefault="00E96F95" w:rsidP="00E96F95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tip de parteneri, daca este cazul .</w:t>
            </w:r>
          </w:p>
          <w:p w14:paraId="53AAAB7B" w14:textId="5A34FEF9" w:rsidR="00E96F95" w:rsidRPr="00CD754B" w:rsidRDefault="00E96F95" w:rsidP="00E96F95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- Fiecare dintre parteneri, acolo unde este cazul, este implicat în cel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puţin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o activitate relevantă (Prin activitate relevantă se înțelege acea activitate care contribuie în mod direct la atingerea indicatorilor</w:t>
            </w:r>
            <w:r w:rsidR="00196C68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  <w:bookmarkStart w:id="3" w:name="_GoBack"/>
            <w:bookmarkEnd w:id="3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</w:p>
          <w:p w14:paraId="55816D6F" w14:textId="77777777" w:rsidR="00E96F95" w:rsidRPr="00CD754B" w:rsidRDefault="00E96F95" w:rsidP="00E96F95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 In cazul parteneriatului, partenerul trebuie să dispună de resurse necesare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desfăşurării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activităţii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din proiect pentru care este autorizat. În această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situaţie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, solicitantul nu are voie să subcontracteze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pe care le prestează membrii parteneriatului.</w:t>
            </w:r>
          </w:p>
          <w:p w14:paraId="5869425E" w14:textId="61502DAA" w:rsidR="00E96F95" w:rsidRPr="00CD754B" w:rsidRDefault="00E96F95" w:rsidP="00E96F95">
            <w:pPr>
              <w:pStyle w:val="Listparagraf2"/>
              <w:spacing w:before="120" w:after="120" w:line="240" w:lineRule="auto"/>
              <w:ind w:left="0"/>
              <w:jc w:val="both"/>
              <w:rPr>
                <w:rFonts w:ascii="Trebuchet MS" w:hAnsi="Trebuchet MS" w:cs="Times New Roman"/>
                <w:color w:val="1F497D" w:themeColor="text2"/>
                <w:sz w:val="22"/>
                <w:szCs w:val="22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-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Activităţile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subcontractare se realizează numai de către solicitantul de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finanţare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, nu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şi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partenerul acestuia</w:t>
            </w:r>
          </w:p>
        </w:tc>
      </w:tr>
      <w:tr w:rsidR="00CD754B" w:rsidRPr="00CD754B" w14:paraId="778DD609" w14:textId="77777777" w:rsidTr="00172B35">
        <w:tc>
          <w:tcPr>
            <w:tcW w:w="3393" w:type="pct"/>
            <w:gridSpan w:val="3"/>
            <w:vAlign w:val="center"/>
          </w:tcPr>
          <w:p w14:paraId="56498D3D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1607" w:type="pct"/>
          </w:tcPr>
          <w:p w14:paraId="5EBC441C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CD754B" w:rsidRPr="00CD754B" w14:paraId="0410E5F4" w14:textId="77777777" w:rsidTr="00172B35">
        <w:tc>
          <w:tcPr>
            <w:tcW w:w="253" w:type="pct"/>
            <w:vAlign w:val="center"/>
          </w:tcPr>
          <w:p w14:paraId="17591EBE" w14:textId="77777777" w:rsidR="00D32343" w:rsidRPr="00CD754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50FD2215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r w:rsidRPr="00CD754B">
              <w:rPr>
                <w:rStyle w:val="Referinnotdesubsol"/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footnoteReference w:id="1"/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1A116F46" w14:textId="77777777" w:rsidR="003243C0" w:rsidRPr="00CD754B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14:paraId="29E69CA2" w14:textId="77777777" w:rsidR="00D32343" w:rsidRPr="00CD754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finanțare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1607" w:type="pct"/>
          </w:tcPr>
          <w:p w14:paraId="0F13C247" w14:textId="1B9B6DFB" w:rsidR="003243C0" w:rsidRPr="00CD754B" w:rsidRDefault="00BF4B7E" w:rsidP="00F57B02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verifică dacă solicitantul a declarat în Declarația privind evitarea dublei finanțări că proiectul propus spre finanțare (activitățile proiectului, cu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aceleaşi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aceiaşi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ţintă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CD754B" w:rsidRPr="00CD754B" w14:paraId="22B7B29E" w14:textId="77777777" w:rsidTr="00172B35">
        <w:tc>
          <w:tcPr>
            <w:tcW w:w="253" w:type="pct"/>
            <w:vAlign w:val="center"/>
          </w:tcPr>
          <w:p w14:paraId="1752720C" w14:textId="77777777" w:rsidR="00D32343" w:rsidRPr="00CD754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50EDF6DF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integral înainte de depunerea cererii de finanțare la autoritatea de management, indiferent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5424B1E9" w14:textId="77777777" w:rsidR="009612FD" w:rsidRPr="00CD754B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14:paraId="1ECA1CE0" w14:textId="77777777" w:rsidR="00D32343" w:rsidRPr="00CD754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Se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finanțare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(în vederea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respectării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dispozițiilor art. 65 alin. (6) din Reg. CE nr. 1303/2013 privind eligibilitatea cheltuielilor). Ulterior,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bifat și DEMARAT, se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verifică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precizat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 respectat legislația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relevantă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5C2D54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aplicabilă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1607" w:type="pct"/>
          </w:tcPr>
          <w:p w14:paraId="4AC28010" w14:textId="77777777" w:rsidR="00D32343" w:rsidRPr="00CD754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CD754B" w:rsidRPr="00CD754B" w14:paraId="557DF6C7" w14:textId="77777777" w:rsidTr="00172B35">
        <w:tc>
          <w:tcPr>
            <w:tcW w:w="253" w:type="pct"/>
            <w:vAlign w:val="center"/>
          </w:tcPr>
          <w:p w14:paraId="7C4C11D7" w14:textId="77777777" w:rsidR="00D32343" w:rsidRPr="00CD754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6</w:t>
            </w:r>
          </w:p>
        </w:tc>
        <w:tc>
          <w:tcPr>
            <w:tcW w:w="1464" w:type="pct"/>
            <w:vAlign w:val="center"/>
          </w:tcPr>
          <w:p w14:paraId="0D555906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1E44EEA8" w14:textId="77777777" w:rsidR="00FD21C5" w:rsidRPr="00CD754B" w:rsidRDefault="00FD21C5" w:rsidP="00220E8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investiţii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Ghidului Solicitantului.</w:t>
            </w:r>
          </w:p>
        </w:tc>
        <w:tc>
          <w:tcPr>
            <w:tcW w:w="1607" w:type="pct"/>
          </w:tcPr>
          <w:p w14:paraId="558474B4" w14:textId="77777777" w:rsidR="00D32343" w:rsidRPr="00CD754B" w:rsidRDefault="00D32343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CD754B" w:rsidRPr="00CD754B" w14:paraId="574358ED" w14:textId="77777777" w:rsidTr="00172B35">
        <w:tc>
          <w:tcPr>
            <w:tcW w:w="253" w:type="pct"/>
            <w:vAlign w:val="center"/>
          </w:tcPr>
          <w:p w14:paraId="5C7124E1" w14:textId="77777777" w:rsidR="00D32343" w:rsidRPr="00CD754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7BA0BDDA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60A04689" w14:textId="77777777" w:rsidR="00D32343" w:rsidRPr="00CD754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al proiectului  trebuie </w:t>
            </w:r>
            <w:r w:rsidR="00245D69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se încadreze în categoriile eligibile menționate în Ghidul Solicitantului</w:t>
            </w:r>
            <w:r w:rsidR="00E9542E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14:paraId="7FBED6CC" w14:textId="77777777" w:rsidR="00D32343" w:rsidRPr="00CD754B" w:rsidRDefault="00D32343" w:rsidP="00537E8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Grupul țintă cuprinde </w:t>
            </w:r>
            <w:r w:rsidR="00926327" w:rsidRPr="00CD754B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tinerii NEET cu vârsta între 16-24 ani, cu domiciliul sau reședința în regiunile Centru, Sud-Muntenia, Sud-Est, </w:t>
            </w:r>
            <w:r w:rsidR="00926327" w:rsidRPr="00CD754B">
              <w:rPr>
                <w:rFonts w:ascii="Trebuchet MS" w:hAnsi="Trebuchet MS"/>
                <w:b/>
                <w:color w:val="1F497D" w:themeColor="text2"/>
                <w:sz w:val="22"/>
                <w:szCs w:val="22"/>
                <w:lang w:val="ro-RO"/>
              </w:rPr>
              <w:t>înregistrați și profilați</w:t>
            </w:r>
            <w:r w:rsidR="00926327" w:rsidRPr="00CD754B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de către SPO.</w:t>
            </w:r>
            <w:r w:rsidRPr="00CD754B">
              <w:rPr>
                <w:rFonts w:ascii="Trebuchet MS" w:hAnsi="Trebuchet MS"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</w:tr>
      <w:tr w:rsidR="00CD754B" w:rsidRPr="00CD754B" w14:paraId="0F39CC0D" w14:textId="77777777" w:rsidTr="00172B35">
        <w:tc>
          <w:tcPr>
            <w:tcW w:w="253" w:type="pct"/>
            <w:vAlign w:val="center"/>
          </w:tcPr>
          <w:p w14:paraId="4DB77003" w14:textId="77777777" w:rsidR="00FD21C5" w:rsidRPr="00CD754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14:paraId="1150FCDB" w14:textId="77777777" w:rsidR="00FD21C5" w:rsidRPr="00CD754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CD754B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6B012843" w14:textId="34D706A8" w:rsidR="00FD21C5" w:rsidRPr="00CD754B" w:rsidRDefault="00FD21C5" w:rsidP="00F53293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 se </w:t>
            </w:r>
            <w:r w:rsidR="00F57B02"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înscriu</w:t>
            </w: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  <w:tc>
          <w:tcPr>
            <w:tcW w:w="1607" w:type="pct"/>
          </w:tcPr>
          <w:p w14:paraId="26726FDA" w14:textId="77777777" w:rsidR="00FD21C5" w:rsidRPr="00CD754B" w:rsidRDefault="00FD21C5" w:rsidP="00FD21C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CD754B" w:rsidRPr="00CD754B" w14:paraId="4FC3C04E" w14:textId="77777777" w:rsidTr="00172B35">
        <w:tc>
          <w:tcPr>
            <w:tcW w:w="253" w:type="pct"/>
            <w:vAlign w:val="center"/>
          </w:tcPr>
          <w:p w14:paraId="3755B7A2" w14:textId="77777777" w:rsidR="00D32343" w:rsidRPr="00CD754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6E72A26E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676" w:type="pct"/>
            <w:vAlign w:val="center"/>
          </w:tcPr>
          <w:p w14:paraId="3ECE5B55" w14:textId="77777777" w:rsidR="00D32343" w:rsidRPr="00CD754B" w:rsidRDefault="00D32343" w:rsidP="002E4072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Proiectele depuse  în cadrul mecanismului non-competitiv nu au o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maximă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obligatorie, dar nu pot dep</w:t>
            </w:r>
            <w:r w:rsidR="002E4072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ăș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 perioada de implementare a programului. </w:t>
            </w:r>
          </w:p>
        </w:tc>
        <w:tc>
          <w:tcPr>
            <w:tcW w:w="1607" w:type="pct"/>
          </w:tcPr>
          <w:p w14:paraId="0D92B202" w14:textId="61F7C42D" w:rsidR="00D32343" w:rsidRPr="00CD754B" w:rsidRDefault="00B82A86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daca perioada de implementare a proiectului nu </w:t>
            </w:r>
            <w:proofErr w:type="spellStart"/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depaseste</w:t>
            </w:r>
            <w:proofErr w:type="spellEnd"/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termenul specificat in GSCS</w:t>
            </w:r>
          </w:p>
        </w:tc>
      </w:tr>
      <w:tr w:rsidR="00CD754B" w:rsidRPr="00CD754B" w14:paraId="37B0B06B" w14:textId="77777777" w:rsidTr="00172B35">
        <w:tc>
          <w:tcPr>
            <w:tcW w:w="253" w:type="pct"/>
            <w:vAlign w:val="center"/>
          </w:tcPr>
          <w:p w14:paraId="23B5586A" w14:textId="77777777" w:rsidR="00D32343" w:rsidRPr="00CD754B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7F0D9972" w14:textId="77777777" w:rsidR="00D32343" w:rsidRPr="00CD754B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47C49A6F" w14:textId="77777777" w:rsidR="00D32343" w:rsidRPr="00CD754B" w:rsidRDefault="00D32343" w:rsidP="00E10E7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Cheltuielile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la capitolul de cheltuieli eligibile trebuie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fie conforme 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cu cele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Ghidul Solicitantului</w:t>
            </w:r>
            <w:r w:rsidR="00EB199E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14:paraId="5C655D14" w14:textId="15ED2882" w:rsidR="00D32343" w:rsidRPr="00CD754B" w:rsidRDefault="00D32343" w:rsidP="00F53293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V</w:t>
            </w:r>
            <w:r w:rsidR="00F53293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aloare</w:t>
            </w:r>
            <w:r w:rsidR="00E06097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</w:t>
            </w:r>
            <w:r w:rsidR="00F53293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cheltuielilor indirecte 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nu depășește procentul de 15% din costurile directe eligibile </w:t>
            </w:r>
          </w:p>
        </w:tc>
      </w:tr>
      <w:tr w:rsidR="00CD754B" w:rsidRPr="00CD754B" w14:paraId="3093C722" w14:textId="77777777" w:rsidTr="00172B35">
        <w:tc>
          <w:tcPr>
            <w:tcW w:w="253" w:type="pct"/>
            <w:vAlign w:val="center"/>
          </w:tcPr>
          <w:p w14:paraId="106CBEC8" w14:textId="77777777" w:rsidR="00D32343" w:rsidRPr="00CD754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11</w:t>
            </w:r>
          </w:p>
        </w:tc>
        <w:tc>
          <w:tcPr>
            <w:tcW w:w="1464" w:type="pct"/>
            <w:vAlign w:val="center"/>
          </w:tcPr>
          <w:p w14:paraId="36DFC431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cofinanţare</w:t>
            </w:r>
            <w:proofErr w:type="spellEnd"/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676" w:type="pct"/>
            <w:vAlign w:val="center"/>
          </w:tcPr>
          <w:p w14:paraId="417654DB" w14:textId="77777777" w:rsidR="00D32343" w:rsidRPr="00CD754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respectă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rata de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cofinanțare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(FSE/ILMT, buget național și contribuție proprie).</w:t>
            </w:r>
          </w:p>
        </w:tc>
        <w:tc>
          <w:tcPr>
            <w:tcW w:w="1607" w:type="pct"/>
          </w:tcPr>
          <w:p w14:paraId="73A23337" w14:textId="71887588" w:rsidR="00D32343" w:rsidRPr="00CD754B" w:rsidRDefault="00D32343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="00E06097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CD754B" w:rsidRPr="00CD754B" w14:paraId="286440C2" w14:textId="77777777" w:rsidTr="00172B35">
        <w:tc>
          <w:tcPr>
            <w:tcW w:w="253" w:type="pct"/>
            <w:vAlign w:val="center"/>
          </w:tcPr>
          <w:p w14:paraId="304B2A76" w14:textId="77777777" w:rsidR="00D32343" w:rsidRPr="00CD754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4EA8B2CE" w14:textId="77777777" w:rsidR="00D32343" w:rsidRPr="00CD754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CD754B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38E05CAE" w14:textId="77777777" w:rsidR="00D32343" w:rsidRPr="00CD754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trebuie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cuprindă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cel puțin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obligatorii, </w:t>
            </w:r>
            <w:r w:rsidR="00122C7C"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prevăzute</w:t>
            </w:r>
            <w:r w:rsidRPr="00CD754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Ghidul Solicitantului.</w:t>
            </w:r>
          </w:p>
        </w:tc>
        <w:tc>
          <w:tcPr>
            <w:tcW w:w="1607" w:type="pct"/>
          </w:tcPr>
          <w:p w14:paraId="125062DE" w14:textId="77777777" w:rsidR="00537E8A" w:rsidRPr="00CD754B" w:rsidRDefault="00537E8A" w:rsidP="00537E8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14:paraId="30EDA874" w14:textId="77777777" w:rsidR="00122C7C" w:rsidRPr="00CD754B" w:rsidRDefault="00122C7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</w:p>
        </w:tc>
      </w:tr>
      <w:tr w:rsidR="00CD754B" w:rsidRPr="00CD754B" w14:paraId="2A87FB67" w14:textId="77777777" w:rsidTr="009E19B3">
        <w:tc>
          <w:tcPr>
            <w:tcW w:w="253" w:type="pct"/>
            <w:vAlign w:val="center"/>
          </w:tcPr>
          <w:p w14:paraId="29152B6B" w14:textId="77777777" w:rsidR="000D1166" w:rsidRPr="00CD754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2C2F72A7" w14:textId="77777777" w:rsidR="000D1166" w:rsidRPr="00CD754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676" w:type="pct"/>
            <w:vAlign w:val="center"/>
          </w:tcPr>
          <w:p w14:paraId="334E2EC9" w14:textId="77777777" w:rsidR="000D1166" w:rsidRPr="00CD754B" w:rsidRDefault="000D1166" w:rsidP="000D116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cuprinde, în cadrul activității de informare și publicitate, măsurile minime prevăzute în Ghidul Solicitantului - </w:t>
            </w:r>
            <w:r w:rsidRPr="00CD754B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CD754B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  <w:vAlign w:val="center"/>
          </w:tcPr>
          <w:p w14:paraId="59659EBF" w14:textId="77777777" w:rsidR="000D1166" w:rsidRPr="00CD754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14:paraId="3DC4551E" w14:textId="77777777" w:rsidR="000D1166" w:rsidRPr="00CD754B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</w:pPr>
      <w:r w:rsidRPr="00CD754B"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  <w:t>*Notă: În cazul în care oricare dintre criterii/subcriterii nu poate fi prelucrat de sistem, el va fi evaluat de către echipa de evaluare.</w:t>
      </w:r>
    </w:p>
    <w:p w14:paraId="30022A4E" w14:textId="77777777" w:rsidR="00D32343" w:rsidRPr="00CD754B" w:rsidRDefault="00D32343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D32343" w:rsidRPr="00CD754B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AFF1B" w14:textId="77777777" w:rsidR="009D7D3E" w:rsidRDefault="009D7D3E" w:rsidP="00F81309">
      <w:r>
        <w:separator/>
      </w:r>
    </w:p>
  </w:endnote>
  <w:endnote w:type="continuationSeparator" w:id="0">
    <w:p w14:paraId="653DD594" w14:textId="77777777" w:rsidR="009D7D3E" w:rsidRDefault="009D7D3E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3FEE3" w14:textId="77777777" w:rsidR="009D7D3E" w:rsidRDefault="009D7D3E" w:rsidP="00F81309">
      <w:r>
        <w:separator/>
      </w:r>
    </w:p>
  </w:footnote>
  <w:footnote w:type="continuationSeparator" w:id="0">
    <w:p w14:paraId="5526D359" w14:textId="77777777" w:rsidR="009D7D3E" w:rsidRDefault="009D7D3E" w:rsidP="00F81309">
      <w:r>
        <w:continuationSeparator/>
      </w:r>
    </w:p>
  </w:footnote>
  <w:footnote w:id="1">
    <w:p w14:paraId="3C57A700" w14:textId="77777777" w:rsidR="00D32343" w:rsidRDefault="00D32343" w:rsidP="00F81309">
      <w:pPr>
        <w:pStyle w:val="Listparagraf"/>
        <w:ind w:left="142" w:hanging="142"/>
      </w:pPr>
      <w:r w:rsidRPr="00973A5B">
        <w:rPr>
          <w:rStyle w:val="Referinnotdesubsol"/>
          <w:rFonts w:ascii="Calibri" w:hAnsi="Calibri" w:cs="Arial"/>
          <w:color w:val="244061"/>
          <w:lang w:val="ro-RO"/>
        </w:rPr>
        <w:footnoteRef/>
      </w:r>
      <w:r w:rsidRPr="00973A5B">
        <w:rPr>
          <w:rStyle w:val="Referinnotdesubsol"/>
          <w:rFonts w:ascii="Calibri" w:hAnsi="Calibri" w:cs="Arial"/>
          <w:color w:val="244061"/>
          <w:lang w:val="ro-RO"/>
        </w:rPr>
        <w:t xml:space="preserve"> </w:t>
      </w:r>
      <w:r>
        <w:rPr>
          <w:rFonts w:ascii="Calibri" w:hAnsi="Calibri" w:cs="Arial"/>
          <w:color w:val="244061"/>
          <w:lang w:val="ro-RO"/>
        </w:rPr>
        <w:t xml:space="preserve"> </w:t>
      </w:r>
      <w:proofErr w:type="spellStart"/>
      <w:r w:rsidRPr="00F81309">
        <w:t>Condiţiile</w:t>
      </w:r>
      <w:proofErr w:type="spellEnd"/>
      <w:r w:rsidRPr="00F81309">
        <w:t xml:space="preserve"> </w:t>
      </w:r>
      <w:proofErr w:type="spellStart"/>
      <w:r w:rsidRPr="00F81309">
        <w:t>trebuie</w:t>
      </w:r>
      <w:proofErr w:type="spellEnd"/>
      <w:r w:rsidRPr="00F81309">
        <w:t xml:space="preserve"> </w:t>
      </w:r>
      <w:proofErr w:type="spellStart"/>
      <w:r w:rsidRPr="00F81309">
        <w:t>îndeplinite</w:t>
      </w:r>
      <w:proofErr w:type="spellEnd"/>
      <w:r w:rsidRPr="00F81309">
        <w:t xml:space="preserve"> </w:t>
      </w:r>
      <w:proofErr w:type="spellStart"/>
      <w:r w:rsidRPr="00F81309">
        <w:t>cumulativ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. Solicitantul/beneficiarul trebuie să se asigure că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participanţii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la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operaţiuni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nu au reprezentat grup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ţintă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pentru măsuri similare,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cofinanţa</w:t>
      </w:r>
      <w:r>
        <w:rPr>
          <w:rFonts w:ascii="Calibri" w:hAnsi="Calibri" w:cs="Arial"/>
          <w:color w:val="244061"/>
          <w:lang w:val="ro-RO"/>
        </w:rPr>
        <w:t>te</w:t>
      </w:r>
      <w:proofErr w:type="spellEnd"/>
      <w:r>
        <w:rPr>
          <w:rFonts w:ascii="Calibri" w:hAnsi="Calibri" w:cs="Arial"/>
          <w:color w:val="244061"/>
          <w:lang w:val="ro-RO"/>
        </w:rPr>
        <w:t xml:space="preserve"> din fonduri nerambursabile. Î</w:t>
      </w:r>
      <w:r w:rsidRPr="00973A5B">
        <w:rPr>
          <w:rFonts w:ascii="Calibri" w:hAnsi="Calibri" w:cs="Arial"/>
          <w:color w:val="244061"/>
          <w:lang w:val="ro-RO"/>
        </w:rPr>
        <w:t xml:space="preserve">n cazul în care, în implementare, se constată încălcarea acestui criteriu, contractul de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finanţare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12F6A"/>
    <w:rsid w:val="00037A23"/>
    <w:rsid w:val="0005248F"/>
    <w:rsid w:val="000661D0"/>
    <w:rsid w:val="000770A3"/>
    <w:rsid w:val="000A7904"/>
    <w:rsid w:val="000B6CC8"/>
    <w:rsid w:val="000D1166"/>
    <w:rsid w:val="000D3FE3"/>
    <w:rsid w:val="00122C7C"/>
    <w:rsid w:val="00132DD8"/>
    <w:rsid w:val="00172B35"/>
    <w:rsid w:val="00173A4F"/>
    <w:rsid w:val="00174745"/>
    <w:rsid w:val="00180C97"/>
    <w:rsid w:val="00184A87"/>
    <w:rsid w:val="00196C68"/>
    <w:rsid w:val="001E65E4"/>
    <w:rsid w:val="002020B8"/>
    <w:rsid w:val="00220E87"/>
    <w:rsid w:val="002250C1"/>
    <w:rsid w:val="00245D69"/>
    <w:rsid w:val="0025739B"/>
    <w:rsid w:val="0029394C"/>
    <w:rsid w:val="002A2260"/>
    <w:rsid w:val="002B716B"/>
    <w:rsid w:val="002E4072"/>
    <w:rsid w:val="0030207A"/>
    <w:rsid w:val="0032288E"/>
    <w:rsid w:val="003243C0"/>
    <w:rsid w:val="003278A0"/>
    <w:rsid w:val="00394F10"/>
    <w:rsid w:val="003E5104"/>
    <w:rsid w:val="003F46D3"/>
    <w:rsid w:val="0042092E"/>
    <w:rsid w:val="004B6853"/>
    <w:rsid w:val="004D4F0F"/>
    <w:rsid w:val="004D6B6A"/>
    <w:rsid w:val="004F497D"/>
    <w:rsid w:val="00500505"/>
    <w:rsid w:val="00520C8B"/>
    <w:rsid w:val="00537E8A"/>
    <w:rsid w:val="005433EF"/>
    <w:rsid w:val="005C1D73"/>
    <w:rsid w:val="005C2D54"/>
    <w:rsid w:val="005E13D4"/>
    <w:rsid w:val="00615992"/>
    <w:rsid w:val="00625DE6"/>
    <w:rsid w:val="00631BAD"/>
    <w:rsid w:val="006A7E38"/>
    <w:rsid w:val="00710328"/>
    <w:rsid w:val="0074306D"/>
    <w:rsid w:val="007857DE"/>
    <w:rsid w:val="007A31D7"/>
    <w:rsid w:val="007A439D"/>
    <w:rsid w:val="007E29B8"/>
    <w:rsid w:val="0080491A"/>
    <w:rsid w:val="008835BF"/>
    <w:rsid w:val="008B5BBA"/>
    <w:rsid w:val="008C488E"/>
    <w:rsid w:val="008D477D"/>
    <w:rsid w:val="008E37AE"/>
    <w:rsid w:val="009044A5"/>
    <w:rsid w:val="009155BF"/>
    <w:rsid w:val="00926327"/>
    <w:rsid w:val="009612FD"/>
    <w:rsid w:val="00973A5B"/>
    <w:rsid w:val="009D7D3E"/>
    <w:rsid w:val="009E6124"/>
    <w:rsid w:val="009F1D9C"/>
    <w:rsid w:val="009F319B"/>
    <w:rsid w:val="00A21364"/>
    <w:rsid w:val="00A9504D"/>
    <w:rsid w:val="00AA7226"/>
    <w:rsid w:val="00AB1E45"/>
    <w:rsid w:val="00B16340"/>
    <w:rsid w:val="00B62250"/>
    <w:rsid w:val="00B82A86"/>
    <w:rsid w:val="00B94F01"/>
    <w:rsid w:val="00BD1B82"/>
    <w:rsid w:val="00BF0A14"/>
    <w:rsid w:val="00BF1A8D"/>
    <w:rsid w:val="00BF4B7E"/>
    <w:rsid w:val="00BF7161"/>
    <w:rsid w:val="00C005F3"/>
    <w:rsid w:val="00C00D3F"/>
    <w:rsid w:val="00C40E17"/>
    <w:rsid w:val="00C57234"/>
    <w:rsid w:val="00CD754B"/>
    <w:rsid w:val="00D21BCB"/>
    <w:rsid w:val="00D24ABB"/>
    <w:rsid w:val="00D32343"/>
    <w:rsid w:val="00D64F5C"/>
    <w:rsid w:val="00D85F72"/>
    <w:rsid w:val="00DB08AB"/>
    <w:rsid w:val="00DB53AB"/>
    <w:rsid w:val="00DC4B2C"/>
    <w:rsid w:val="00DC5169"/>
    <w:rsid w:val="00E06097"/>
    <w:rsid w:val="00E10E76"/>
    <w:rsid w:val="00E30551"/>
    <w:rsid w:val="00E73AFA"/>
    <w:rsid w:val="00E74527"/>
    <w:rsid w:val="00E9542E"/>
    <w:rsid w:val="00E96F95"/>
    <w:rsid w:val="00EB199E"/>
    <w:rsid w:val="00F07156"/>
    <w:rsid w:val="00F106AB"/>
    <w:rsid w:val="00F26950"/>
    <w:rsid w:val="00F3130E"/>
    <w:rsid w:val="00F403B2"/>
    <w:rsid w:val="00F53293"/>
    <w:rsid w:val="00F57B02"/>
    <w:rsid w:val="00F60E96"/>
    <w:rsid w:val="00F81309"/>
    <w:rsid w:val="00F91857"/>
    <w:rsid w:val="00FC6CB9"/>
    <w:rsid w:val="00FD21C5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ED5D0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Referincomentariu">
    <w:name w:val="annotation reference"/>
    <w:basedOn w:val="Fontdeparagrafimplicit"/>
    <w:uiPriority w:val="99"/>
    <w:semiHidden/>
    <w:unhideWhenUsed/>
    <w:rsid w:val="008B5BB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B5BB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B5BBA"/>
    <w:rPr>
      <w:rFonts w:ascii="Times New Roman" w:eastAsia="Times New Roman" w:hAnsi="Times New Roman"/>
      <w:lang w:val="en-GB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B5BB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B5BBA"/>
    <w:rPr>
      <w:rFonts w:ascii="Times New Roman" w:eastAsia="Times New Roman" w:hAnsi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1256</Words>
  <Characters>7161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Olivia Rusandu</cp:lastModifiedBy>
  <cp:revision>14</cp:revision>
  <dcterms:created xsi:type="dcterms:W3CDTF">2017-10-02T07:12:00Z</dcterms:created>
  <dcterms:modified xsi:type="dcterms:W3CDTF">2017-10-11T07:02:00Z</dcterms:modified>
</cp:coreProperties>
</file>